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421722</wp:posOffset>
                </wp:positionH>
                <wp:positionV relativeFrom="page">
                  <wp:posOffset>1272448</wp:posOffset>
                </wp:positionV>
                <wp:extent cx="9853001" cy="2214395"/>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9853001" cy="2214395"/>
                        </a:xfrm>
                        <a:prstGeom prst="rect">
                          <a:avLst/>
                        </a:prstGeom>
                      </wps:spPr>
                      <wps:txbx>
                        <w:txbxContent>
                          <w:tbl>
                            <w:tblPr>
                              <w:tblW w:w="15509"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584"/>
                              <w:gridCol w:w="2585"/>
                              <w:gridCol w:w="2585"/>
                              <w:gridCol w:w="2585"/>
                              <w:gridCol w:w="2585"/>
                              <w:gridCol w:w="2585"/>
                            </w:tblGrid>
                            <w:tr>
                              <w:tblPrEx>
                                <w:shd w:val="clear" w:color="auto" w:fill="bdc0bf"/>
                              </w:tblPrEx>
                              <w:trPr>
                                <w:trHeight w:val="536" w:hRule="atLeast"/>
                                <w:tblHeader/>
                              </w:trPr>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Autumn 1</w:t>
                                  </w:r>
                                </w:p>
                              </w:tc>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Autumn 2</w:t>
                                  </w:r>
                                </w:p>
                              </w:tc>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Spring 1</w:t>
                                  </w:r>
                                </w:p>
                              </w:tc>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Spring 2</w:t>
                                  </w:r>
                                </w:p>
                              </w:tc>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Summer 1</w:t>
                                  </w:r>
                                </w:p>
                              </w:tc>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Summer 2</w:t>
                                  </w:r>
                                </w:p>
                              </w:tc>
                            </w:tr>
                            <w:tr>
                              <w:tblPrEx>
                                <w:shd w:val="clear" w:color="auto" w:fill="auto"/>
                              </w:tblPrEx>
                              <w:trPr>
                                <w:trHeight w:val="536" w:hRule="atLeast"/>
                              </w:trPr>
                              <w:tc>
                                <w:tcPr>
                                  <w:tcW w:type="dxa" w:w="2584"/>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36" w:hRule="atLeast"/>
                              </w:trPr>
                              <w:tc>
                                <w:tcPr>
                                  <w:tcW w:type="dxa" w:w="258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36" w:hRule="atLeast"/>
                              </w:trPr>
                              <w:tc>
                                <w:tcPr>
                                  <w:tcW w:type="dxa" w:w="258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36" w:hRule="atLeast"/>
                              </w:trPr>
                              <w:tc>
                                <w:tcPr>
                                  <w:tcW w:type="dxa" w:w="258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36" w:hRule="atLeast"/>
                              </w:trPr>
                              <w:tc>
                                <w:tcPr>
                                  <w:tcW w:type="dxa" w:w="258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36" w:hRule="atLeast"/>
                              </w:trPr>
                              <w:tc>
                                <w:tcPr>
                                  <w:tcW w:type="dxa" w:w="258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txbxContent>
                      </wps:txbx>
                      <wps:bodyPr lIns="0" tIns="0" rIns="0" bIns="0">
                        <a:spAutoFit/>
                      </wps:bodyPr>
                    </wps:wsp>
                  </a:graphicData>
                </a:graphic>
              </wp:anchor>
            </w:drawing>
          </mc:Choice>
          <mc:Fallback>
            <w:pict>
              <v:shape id="_x0000_s1026" type="#_x0000_t202" style="visibility:visible;position:absolute;margin-left:33.2pt;margin-top:100.2pt;width:775.8pt;height:174.4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5509" w:type="dxa"/>
                        <w:tblInd w:w="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584"/>
                        <w:gridCol w:w="2585"/>
                        <w:gridCol w:w="2585"/>
                        <w:gridCol w:w="2585"/>
                        <w:gridCol w:w="2585"/>
                        <w:gridCol w:w="2585"/>
                      </w:tblGrid>
                      <w:tr>
                        <w:tblPrEx>
                          <w:shd w:val="clear" w:color="auto" w:fill="bdc0bf"/>
                        </w:tblPrEx>
                        <w:trPr>
                          <w:trHeight w:val="536" w:hRule="atLeast"/>
                          <w:tblHeader/>
                        </w:trPr>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Autumn 1</w:t>
                            </w:r>
                          </w:p>
                        </w:tc>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Autumn 2</w:t>
                            </w:r>
                          </w:p>
                        </w:tc>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Spring 1</w:t>
                            </w:r>
                          </w:p>
                        </w:tc>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Spring 2</w:t>
                            </w:r>
                          </w:p>
                        </w:tc>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Summer 1</w:t>
                            </w:r>
                          </w:p>
                        </w:tc>
                        <w:tc>
                          <w:tcPr>
                            <w:tcW w:type="dxa" w:w="258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center"/>
                          </w:tcPr>
                          <w:p>
                            <w:pPr>
                              <w:pStyle w:val="Table Style 1"/>
                              <w:jc w:val="center"/>
                            </w:pPr>
                            <w:r>
                              <w:rPr>
                                <w:rFonts w:ascii="Helvetica Neue" w:hAnsi="Helvetica Neue"/>
                                <w:sz w:val="28"/>
                                <w:szCs w:val="28"/>
                                <w:rtl w:val="0"/>
                              </w:rPr>
                              <w:t>Summer 2</w:t>
                            </w:r>
                          </w:p>
                        </w:tc>
                      </w:tr>
                      <w:tr>
                        <w:tblPrEx>
                          <w:shd w:val="clear" w:color="auto" w:fill="auto"/>
                        </w:tblPrEx>
                        <w:trPr>
                          <w:trHeight w:val="536" w:hRule="atLeast"/>
                        </w:trPr>
                        <w:tc>
                          <w:tcPr>
                            <w:tcW w:type="dxa" w:w="2584"/>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36" w:hRule="atLeast"/>
                        </w:trPr>
                        <w:tc>
                          <w:tcPr>
                            <w:tcW w:type="dxa" w:w="258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36" w:hRule="atLeast"/>
                        </w:trPr>
                        <w:tc>
                          <w:tcPr>
                            <w:tcW w:type="dxa" w:w="258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36" w:hRule="atLeast"/>
                        </w:trPr>
                        <w:tc>
                          <w:tcPr>
                            <w:tcW w:type="dxa" w:w="258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36" w:hRule="atLeast"/>
                        </w:trPr>
                        <w:tc>
                          <w:tcPr>
                            <w:tcW w:type="dxa" w:w="258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36" w:hRule="atLeast"/>
                        </w:trPr>
                        <w:tc>
                          <w:tcPr>
                            <w:tcW w:type="dxa" w:w="2584"/>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421722</wp:posOffset>
                </wp:positionH>
                <wp:positionV relativeFrom="page">
                  <wp:posOffset>256332</wp:posOffset>
                </wp:positionV>
                <wp:extent cx="9848557" cy="880903"/>
                <wp:effectExtent l="0" t="0" r="0" b="0"/>
                <wp:wrapNone/>
                <wp:docPr id="1073741826" name="officeArt object" descr="Example assembly planner to include weekly engagement with the world of work based on 6 weekly blocks per half term. A blank version can also be downloaded for schools to make their own plans on."/>
                <wp:cNvGraphicFramePr/>
                <a:graphic xmlns:a="http://schemas.openxmlformats.org/drawingml/2006/main">
                  <a:graphicData uri="http://schemas.microsoft.com/office/word/2010/wordprocessingShape">
                    <wps:wsp>
                      <wps:cNvSpPr/>
                      <wps:spPr>
                        <a:xfrm>
                          <a:off x="0" y="0"/>
                          <a:ext cx="9848557" cy="880903"/>
                        </a:xfrm>
                        <a:prstGeom prst="rect">
                          <a:avLst/>
                        </a:prstGeom>
                        <a:solidFill>
                          <a:srgbClr val="D5D5D5"/>
                        </a:solidFill>
                        <a:ln w="12700" cap="flat">
                          <a:noFill/>
                          <a:miter lim="400000"/>
                        </a:ln>
                        <a:effectLst/>
                      </wps:spPr>
                      <wps:txbx>
                        <w:txbxContent>
                          <w:p>
                            <w:pPr>
                              <w:pStyle w:val="Body"/>
                            </w:pPr>
                            <w:r>
                              <w:rPr>
                                <w:sz w:val="32"/>
                                <w:szCs w:val="32"/>
                                <w:rtl w:val="0"/>
                                <w:lang w:val="en-US"/>
                              </w:rPr>
                              <w:t>Example assembly planner to include weekly engagement with the world of work based on 6 weekly blocks per half term. A blank version can also be downloaded for schools to make their own plans on.</w:t>
                            </w:r>
                          </w:p>
                        </w:txbxContent>
                      </wps:txbx>
                      <wps:bodyPr wrap="square" lIns="50800" tIns="50800" rIns="50800" bIns="50800" numCol="1" anchor="ctr">
                        <a:noAutofit/>
                      </wps:bodyPr>
                    </wps:wsp>
                  </a:graphicData>
                </a:graphic>
              </wp:anchor>
            </w:drawing>
          </mc:Choice>
          <mc:Fallback>
            <w:pict>
              <v:rect id="_x0000_s1027" style="visibility:visible;position:absolute;margin-left:33.2pt;margin-top:20.2pt;width:775.5pt;height:69.4pt;z-index:251660288;mso-position-horizontal:absolute;mso-position-horizontal-relative:page;mso-position-vertical:absolute;mso-position-vertical-relative:page;mso-wrap-distance-left:12.0pt;mso-wrap-distance-top:12.0pt;mso-wrap-distance-right:12.0pt;mso-wrap-distance-bottom:12.0pt;">
                <v:fill color="#D5D5D5"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sz w:val="32"/>
                          <w:szCs w:val="32"/>
                          <w:rtl w:val="0"/>
                          <w:lang w:val="en-US"/>
                        </w:rPr>
                        <w:t>Example assembly planner to include weekly engagement with the world of work based on 6 weekly blocks per half term. A blank version can also be downloaded for schools to make their own plans on.</w:t>
                      </w:r>
                    </w:p>
                  </w:txbxContent>
                </v:textbox>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421721</wp:posOffset>
                </wp:positionH>
                <wp:positionV relativeFrom="page">
                  <wp:posOffset>4576919</wp:posOffset>
                </wp:positionV>
                <wp:extent cx="9848557" cy="2061657"/>
                <wp:effectExtent l="0" t="0" r="0" b="0"/>
                <wp:wrapNone/>
                <wp:docPr id="1073741827" name="officeArt object" descr="The plan creates a cycle mixing a Guess Who (GW) with some company introduction videos. They can be found by either a search or using the interactive business map (Guess Who’s have their own page on the website).…"/>
                <wp:cNvGraphicFramePr/>
                <a:graphic xmlns:a="http://schemas.openxmlformats.org/drawingml/2006/main">
                  <a:graphicData uri="http://schemas.microsoft.com/office/word/2010/wordprocessingShape">
                    <wps:wsp>
                      <wps:cNvSpPr/>
                      <wps:spPr>
                        <a:xfrm>
                          <a:off x="0" y="0"/>
                          <a:ext cx="9848557" cy="2061657"/>
                        </a:xfrm>
                        <a:prstGeom prst="rect">
                          <a:avLst/>
                        </a:prstGeom>
                        <a:solidFill>
                          <a:srgbClr val="D5D5D5"/>
                        </a:solidFill>
                        <a:ln w="12700" cap="flat">
                          <a:noFill/>
                          <a:miter lim="400000"/>
                        </a:ln>
                        <a:effectLst/>
                      </wps:spPr>
                      <wps:txbx>
                        <w:txbxContent>
                          <w:p>
                            <w:pPr>
                              <w:pStyle w:val="Body"/>
                              <w:rPr>
                                <w:sz w:val="28"/>
                                <w:szCs w:val="28"/>
                              </w:rPr>
                            </w:pPr>
                            <w:r>
                              <w:rPr>
                                <w:sz w:val="28"/>
                                <w:szCs w:val="28"/>
                                <w:rtl w:val="0"/>
                                <w:lang w:val="en-US"/>
                              </w:rPr>
                              <w:t xml:space="preserve">The plan creates a cycle </w:t>
                            </w:r>
                            <w:r>
                              <w:rPr>
                                <w:sz w:val="28"/>
                                <w:szCs w:val="28"/>
                                <w:rtl w:val="0"/>
                                <w:lang w:val="en-US"/>
                              </w:rPr>
                              <w:t>mixing</w:t>
                            </w:r>
                            <w:r>
                              <w:rPr>
                                <w:sz w:val="28"/>
                                <w:szCs w:val="28"/>
                                <w:rtl w:val="0"/>
                                <w:lang w:val="en-US"/>
                              </w:rPr>
                              <w:t xml:space="preserve"> a Guess Who (GW) with </w:t>
                            </w:r>
                            <w:r>
                              <w:rPr>
                                <w:sz w:val="28"/>
                                <w:szCs w:val="28"/>
                                <w:rtl w:val="0"/>
                                <w:lang w:val="en-US"/>
                              </w:rPr>
                              <w:t>some</w:t>
                            </w:r>
                            <w:r>
                              <w:rPr>
                                <w:sz w:val="28"/>
                                <w:szCs w:val="28"/>
                                <w:rtl w:val="0"/>
                                <w:lang w:val="en-US"/>
                              </w:rPr>
                              <w:t xml:space="preserve"> company </w:t>
                            </w:r>
                            <w:r>
                              <w:rPr>
                                <w:sz w:val="28"/>
                                <w:szCs w:val="28"/>
                                <w:rtl w:val="0"/>
                                <w:lang w:val="en-US"/>
                              </w:rPr>
                              <w:t>introduction videos</w:t>
                            </w:r>
                            <w:r>
                              <w:rPr>
                                <w:sz w:val="28"/>
                                <w:szCs w:val="28"/>
                                <w:rtl w:val="0"/>
                              </w:rPr>
                              <w:t>.</w:t>
                            </w:r>
                            <w:r>
                              <w:rPr>
                                <w:sz w:val="28"/>
                                <w:szCs w:val="28"/>
                                <w:rtl w:val="0"/>
                                <w:lang w:val="en-US"/>
                              </w:rPr>
                              <w:t xml:space="preserve"> They can be found by either a search or using the interactive business map (Guess Who</w:t>
                            </w:r>
                            <w:r>
                              <w:rPr>
                                <w:sz w:val="28"/>
                                <w:szCs w:val="28"/>
                                <w:rtl w:val="0"/>
                                <w:lang w:val="en-US"/>
                              </w:rPr>
                              <w:t>’</w:t>
                            </w:r>
                            <w:r>
                              <w:rPr>
                                <w:sz w:val="28"/>
                                <w:szCs w:val="28"/>
                                <w:rtl w:val="0"/>
                                <w:lang w:val="en-US"/>
                              </w:rPr>
                              <w:t>s have their own page on the website).</w:t>
                            </w:r>
                            <w:r>
                              <w:rPr>
                                <w:sz w:val="28"/>
                                <w:szCs w:val="28"/>
                                <w:rtl w:val="0"/>
                              </w:rPr>
                              <w:t xml:space="preserve"> </w:t>
                            </w:r>
                            <w:r>
                              <w:rPr>
                                <w:sz w:val="28"/>
                                <w:szCs w:val="28"/>
                              </w:rPr>
                            </w:r>
                          </w:p>
                          <w:p>
                            <w:pPr>
                              <w:pStyle w:val="Body"/>
                              <w:rPr>
                                <w:sz w:val="28"/>
                                <w:szCs w:val="28"/>
                              </w:rPr>
                            </w:pPr>
                            <w:r>
                              <w:rPr>
                                <w:sz w:val="28"/>
                                <w:szCs w:val="28"/>
                              </w:rPr>
                            </w:r>
                          </w:p>
                          <w:p>
                            <w:pPr>
                              <w:pStyle w:val="Body"/>
                              <w:rPr>
                                <w:sz w:val="28"/>
                                <w:szCs w:val="28"/>
                              </w:rPr>
                            </w:pPr>
                            <w:r>
                              <w:rPr>
                                <w:sz w:val="28"/>
                                <w:szCs w:val="28"/>
                                <w:rtl w:val="0"/>
                                <w:lang w:val="en-US"/>
                              </w:rPr>
                              <w:t>The businesses have been mixed up on purpose to create a wide spread of different sectors across the year. Spark</w:t>
                            </w:r>
                            <w:r>
                              <w:rPr>
                                <w:sz w:val="28"/>
                                <w:szCs w:val="28"/>
                                <w:rtl w:val="1"/>
                              </w:rPr>
                              <w:t>’</w:t>
                            </w:r>
                            <w:r>
                              <w:rPr>
                                <w:sz w:val="28"/>
                                <w:szCs w:val="28"/>
                                <w:rtl w:val="0"/>
                                <w:lang w:val="en-US"/>
                              </w:rPr>
                              <w:t xml:space="preserve">s experience suggests that repeated exposure to a resource is no bad thing year on year </w:t>
                            </w:r>
                            <w:r>
                              <w:rPr>
                                <w:sz w:val="28"/>
                                <w:szCs w:val="28"/>
                                <w:rtl w:val="0"/>
                                <w:lang w:val="en-US"/>
                              </w:rPr>
                              <w:t>and</w:t>
                            </w:r>
                            <w:r>
                              <w:rPr>
                                <w:sz w:val="28"/>
                                <w:szCs w:val="28"/>
                                <w:rtl w:val="0"/>
                                <w:lang w:val="en-US"/>
                              </w:rPr>
                              <w:t xml:space="preserve"> by the start of 2024 academic year we will easily have enough companies to cover a two year rolling programme</w:t>
                            </w:r>
                            <w:r>
                              <w:rPr>
                                <w:sz w:val="28"/>
                                <w:szCs w:val="28"/>
                                <w:rtl w:val="0"/>
                                <w:lang w:val="en-US"/>
                              </w:rPr>
                              <w:t xml:space="preserve"> which could cover KS2 at the least.</w:t>
                            </w:r>
                          </w:p>
                          <w:p>
                            <w:pPr>
                              <w:pStyle w:val="Body"/>
                              <w:rPr>
                                <w:sz w:val="28"/>
                                <w:szCs w:val="28"/>
                              </w:rPr>
                            </w:pPr>
                            <w:r>
                              <w:rPr>
                                <w:sz w:val="28"/>
                                <w:szCs w:val="28"/>
                              </w:rPr>
                            </w:r>
                          </w:p>
                          <w:p>
                            <w:pPr>
                              <w:pStyle w:val="Body"/>
                            </w:pPr>
                            <w:r>
                              <w:rPr>
                                <w:sz w:val="28"/>
                                <w:szCs w:val="28"/>
                                <w:rtl w:val="0"/>
                                <w:lang w:val="en-US"/>
                              </w:rPr>
                              <w:t>Ideally the companies could also be used when teaching curriculum objectives related to them. Use the National Curriculum link tool on the website to embed companies when appropriate as well as the roles that people do.</w:t>
                            </w:r>
                          </w:p>
                        </w:txbxContent>
                      </wps:txbx>
                      <wps:bodyPr wrap="square" lIns="50800" tIns="50800" rIns="50800" bIns="50800" numCol="1" anchor="ctr">
                        <a:noAutofit/>
                      </wps:bodyPr>
                    </wps:wsp>
                  </a:graphicData>
                </a:graphic>
              </wp:anchor>
            </w:drawing>
          </mc:Choice>
          <mc:Fallback>
            <w:pict>
              <v:rect id="_x0000_s1028" style="visibility:visible;position:absolute;margin-left:33.2pt;margin-top:360.4pt;width:775.5pt;height:162.3pt;z-index:251661312;mso-position-horizontal:absolute;mso-position-horizontal-relative:page;mso-position-vertical:absolute;mso-position-vertical-relative:page;mso-wrap-distance-left:12.0pt;mso-wrap-distance-top:12.0pt;mso-wrap-distance-right:12.0pt;mso-wrap-distance-bottom:12.0pt;">
                <v:fill color="#D5D5D5"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rPr>
                          <w:sz w:val="28"/>
                          <w:szCs w:val="28"/>
                        </w:rPr>
                      </w:pPr>
                      <w:r>
                        <w:rPr>
                          <w:sz w:val="28"/>
                          <w:szCs w:val="28"/>
                          <w:rtl w:val="0"/>
                          <w:lang w:val="en-US"/>
                        </w:rPr>
                        <w:t xml:space="preserve">The plan creates a cycle </w:t>
                      </w:r>
                      <w:r>
                        <w:rPr>
                          <w:sz w:val="28"/>
                          <w:szCs w:val="28"/>
                          <w:rtl w:val="0"/>
                          <w:lang w:val="en-US"/>
                        </w:rPr>
                        <w:t>mixing</w:t>
                      </w:r>
                      <w:r>
                        <w:rPr>
                          <w:sz w:val="28"/>
                          <w:szCs w:val="28"/>
                          <w:rtl w:val="0"/>
                          <w:lang w:val="en-US"/>
                        </w:rPr>
                        <w:t xml:space="preserve"> a Guess Who (GW) with </w:t>
                      </w:r>
                      <w:r>
                        <w:rPr>
                          <w:sz w:val="28"/>
                          <w:szCs w:val="28"/>
                          <w:rtl w:val="0"/>
                          <w:lang w:val="en-US"/>
                        </w:rPr>
                        <w:t>some</w:t>
                      </w:r>
                      <w:r>
                        <w:rPr>
                          <w:sz w:val="28"/>
                          <w:szCs w:val="28"/>
                          <w:rtl w:val="0"/>
                          <w:lang w:val="en-US"/>
                        </w:rPr>
                        <w:t xml:space="preserve"> company </w:t>
                      </w:r>
                      <w:r>
                        <w:rPr>
                          <w:sz w:val="28"/>
                          <w:szCs w:val="28"/>
                          <w:rtl w:val="0"/>
                          <w:lang w:val="en-US"/>
                        </w:rPr>
                        <w:t>introduction videos</w:t>
                      </w:r>
                      <w:r>
                        <w:rPr>
                          <w:sz w:val="28"/>
                          <w:szCs w:val="28"/>
                          <w:rtl w:val="0"/>
                        </w:rPr>
                        <w:t>.</w:t>
                      </w:r>
                      <w:r>
                        <w:rPr>
                          <w:sz w:val="28"/>
                          <w:szCs w:val="28"/>
                          <w:rtl w:val="0"/>
                          <w:lang w:val="en-US"/>
                        </w:rPr>
                        <w:t xml:space="preserve"> They can be found by either a search or using the interactive business map (Guess Who</w:t>
                      </w:r>
                      <w:r>
                        <w:rPr>
                          <w:sz w:val="28"/>
                          <w:szCs w:val="28"/>
                          <w:rtl w:val="0"/>
                          <w:lang w:val="en-US"/>
                        </w:rPr>
                        <w:t>’</w:t>
                      </w:r>
                      <w:r>
                        <w:rPr>
                          <w:sz w:val="28"/>
                          <w:szCs w:val="28"/>
                          <w:rtl w:val="0"/>
                          <w:lang w:val="en-US"/>
                        </w:rPr>
                        <w:t>s have their own page on the website).</w:t>
                      </w:r>
                      <w:r>
                        <w:rPr>
                          <w:sz w:val="28"/>
                          <w:szCs w:val="28"/>
                          <w:rtl w:val="0"/>
                        </w:rPr>
                        <w:t xml:space="preserve"> </w:t>
                      </w:r>
                      <w:r>
                        <w:rPr>
                          <w:sz w:val="28"/>
                          <w:szCs w:val="28"/>
                        </w:rPr>
                      </w:r>
                    </w:p>
                    <w:p>
                      <w:pPr>
                        <w:pStyle w:val="Body"/>
                        <w:rPr>
                          <w:sz w:val="28"/>
                          <w:szCs w:val="28"/>
                        </w:rPr>
                      </w:pPr>
                      <w:r>
                        <w:rPr>
                          <w:sz w:val="28"/>
                          <w:szCs w:val="28"/>
                        </w:rPr>
                      </w:r>
                    </w:p>
                    <w:p>
                      <w:pPr>
                        <w:pStyle w:val="Body"/>
                        <w:rPr>
                          <w:sz w:val="28"/>
                          <w:szCs w:val="28"/>
                        </w:rPr>
                      </w:pPr>
                      <w:r>
                        <w:rPr>
                          <w:sz w:val="28"/>
                          <w:szCs w:val="28"/>
                          <w:rtl w:val="0"/>
                          <w:lang w:val="en-US"/>
                        </w:rPr>
                        <w:t>The businesses have been mixed up on purpose to create a wide spread of different sectors across the year. Spark</w:t>
                      </w:r>
                      <w:r>
                        <w:rPr>
                          <w:sz w:val="28"/>
                          <w:szCs w:val="28"/>
                          <w:rtl w:val="1"/>
                        </w:rPr>
                        <w:t>’</w:t>
                      </w:r>
                      <w:r>
                        <w:rPr>
                          <w:sz w:val="28"/>
                          <w:szCs w:val="28"/>
                          <w:rtl w:val="0"/>
                          <w:lang w:val="en-US"/>
                        </w:rPr>
                        <w:t xml:space="preserve">s experience suggests that repeated exposure to a resource is no bad thing year on year </w:t>
                      </w:r>
                      <w:r>
                        <w:rPr>
                          <w:sz w:val="28"/>
                          <w:szCs w:val="28"/>
                          <w:rtl w:val="0"/>
                          <w:lang w:val="en-US"/>
                        </w:rPr>
                        <w:t>and</w:t>
                      </w:r>
                      <w:r>
                        <w:rPr>
                          <w:sz w:val="28"/>
                          <w:szCs w:val="28"/>
                          <w:rtl w:val="0"/>
                          <w:lang w:val="en-US"/>
                        </w:rPr>
                        <w:t xml:space="preserve"> by the start of 2024 academic year we will easily have enough companies to cover a two year rolling programme</w:t>
                      </w:r>
                      <w:r>
                        <w:rPr>
                          <w:sz w:val="28"/>
                          <w:szCs w:val="28"/>
                          <w:rtl w:val="0"/>
                          <w:lang w:val="en-US"/>
                        </w:rPr>
                        <w:t xml:space="preserve"> which could cover KS2 at the least.</w:t>
                      </w:r>
                    </w:p>
                    <w:p>
                      <w:pPr>
                        <w:pStyle w:val="Body"/>
                        <w:rPr>
                          <w:sz w:val="28"/>
                          <w:szCs w:val="28"/>
                        </w:rPr>
                      </w:pPr>
                      <w:r>
                        <w:rPr>
                          <w:sz w:val="28"/>
                          <w:szCs w:val="28"/>
                        </w:rPr>
                      </w:r>
                    </w:p>
                    <w:p>
                      <w:pPr>
                        <w:pStyle w:val="Body"/>
                      </w:pPr>
                      <w:r>
                        <w:rPr>
                          <w:sz w:val="28"/>
                          <w:szCs w:val="28"/>
                          <w:rtl w:val="0"/>
                          <w:lang w:val="en-US"/>
                        </w:rPr>
                        <w:t>Ideally the companies could also be used when teaching curriculum objectives related to them. Use the National Curriculum link tool on the website to embed companies when appropriate as well as the roles that people do.</w:t>
                      </w:r>
                    </w:p>
                  </w:txbxContent>
                </v:textbox>
                <w10:wrap type="none" side="bothSides" anchorx="page" anchory="page"/>
              </v:rect>
            </w:pict>
          </mc:Fallback>
        </mc:AlternateContent>
      </w:r>
    </w:p>
    <w:sectPr>
      <w:headerReference w:type="default" r:id="rId4"/>
      <w:footerReference w:type="default" r:id="rId5"/>
      <w:pgSz w:w="16838" w:h="11906" w:orient="landscape"/>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1_Blank_Layout">
  <a:themeElements>
    <a:clrScheme name="21_Blank_Layout">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Blank_Layout">
      <a:majorFont>
        <a:latin typeface="Helvetica Neue"/>
        <a:ea typeface="Helvetica Neue"/>
        <a:cs typeface="Helvetica Neue"/>
      </a:majorFont>
      <a:minorFont>
        <a:latin typeface="Helvetica Neue"/>
        <a:ea typeface="Helvetica Neue"/>
        <a:cs typeface="Helvetica Neue"/>
      </a:minorFont>
    </a:fontScheme>
    <a:fmtScheme name="21_Blank_Layou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